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34EB0" w14:textId="105E68C1" w:rsidR="000A3EB5" w:rsidRPr="00E065FE" w:rsidRDefault="000A3EB5" w:rsidP="00147B8A">
      <w:pPr>
        <w:widowControl w:val="0"/>
        <w:tabs>
          <w:tab w:val="left" w:pos="1701"/>
          <w:tab w:val="right" w:pos="9923"/>
        </w:tabs>
        <w:spacing w:before="120" w:after="0"/>
        <w:jc w:val="both"/>
        <w:rPr>
          <w:rFonts w:ascii="Arial" w:eastAsia="MS Mincho" w:hAnsi="Arial"/>
          <w:b/>
          <w:sz w:val="22"/>
          <w:szCs w:val="22"/>
          <w:lang w:eastAsia="x-none"/>
        </w:rPr>
      </w:pPr>
      <w:r w:rsidRPr="00AA5D31">
        <w:rPr>
          <w:rFonts w:ascii="Arial" w:eastAsia="MS Mincho" w:hAnsi="Arial"/>
          <w:b/>
          <w:sz w:val="22"/>
          <w:szCs w:val="22"/>
          <w:lang w:val="de-DE" w:eastAsia="x-none"/>
        </w:rPr>
        <w:t>3GPP TSG-RAN WG2 Meeting #12</w:t>
      </w:r>
      <w:r>
        <w:rPr>
          <w:rFonts w:ascii="Arial" w:eastAsia="MS Mincho" w:hAnsi="Arial"/>
          <w:b/>
          <w:sz w:val="22"/>
          <w:szCs w:val="22"/>
          <w:lang w:val="de-DE" w:eastAsia="x-none"/>
        </w:rPr>
        <w:t>9</w:t>
      </w:r>
      <w:r w:rsidRPr="00DE0AA2">
        <w:rPr>
          <w:rFonts w:ascii="Arial" w:eastAsia="MS Mincho" w:hAnsi="Arial"/>
          <w:b/>
          <w:sz w:val="22"/>
          <w:szCs w:val="22"/>
          <w:lang w:val="de-DE" w:eastAsia="x-none"/>
        </w:rPr>
        <w:tab/>
      </w:r>
      <w:r w:rsidRPr="00E065FE">
        <w:rPr>
          <w:rFonts w:ascii="Arial" w:eastAsia="MS Mincho" w:hAnsi="Arial"/>
          <w:b/>
          <w:sz w:val="22"/>
          <w:szCs w:val="22"/>
          <w:lang w:val="de-DE" w:eastAsia="x-none"/>
        </w:rPr>
        <w:t>R2-2</w:t>
      </w:r>
      <w:r w:rsidR="00280A05">
        <w:rPr>
          <w:rFonts w:ascii="Arial" w:eastAsia="MS Mincho" w:hAnsi="Arial"/>
          <w:b/>
          <w:sz w:val="22"/>
          <w:szCs w:val="22"/>
          <w:lang w:val="de-DE" w:eastAsia="x-none"/>
        </w:rPr>
        <w:t>500657</w:t>
      </w:r>
    </w:p>
    <w:p w14:paraId="740E93E5" w14:textId="77777777" w:rsidR="000A3EB5" w:rsidRPr="00E0578C" w:rsidRDefault="000A3EB5" w:rsidP="00147B8A">
      <w:pPr>
        <w:pStyle w:val="af0"/>
        <w:spacing w:before="120" w:after="0"/>
        <w:jc w:val="both"/>
        <w:rPr>
          <w:rFonts w:eastAsia="MS Mincho"/>
          <w:sz w:val="22"/>
          <w:szCs w:val="24"/>
          <w:lang w:val="de-DE" w:eastAsia="x-none"/>
        </w:rPr>
      </w:pPr>
      <w:r w:rsidRPr="00E0578C">
        <w:rPr>
          <w:rFonts w:eastAsia="MS Mincho"/>
          <w:sz w:val="22"/>
          <w:szCs w:val="24"/>
          <w:lang w:val="de-DE" w:eastAsia="x-none"/>
        </w:rPr>
        <w:t>Athens, Greece, Feb. 17</w:t>
      </w:r>
      <w:r w:rsidRPr="00E0578C">
        <w:rPr>
          <w:rFonts w:eastAsia="MS Mincho"/>
          <w:sz w:val="22"/>
          <w:szCs w:val="24"/>
          <w:vertAlign w:val="superscript"/>
          <w:lang w:val="de-DE" w:eastAsia="x-none"/>
        </w:rPr>
        <w:t>th</w:t>
      </w:r>
      <w:r w:rsidRPr="00E0578C">
        <w:rPr>
          <w:rFonts w:eastAsia="MS Mincho"/>
          <w:sz w:val="22"/>
          <w:szCs w:val="24"/>
          <w:lang w:val="de-DE" w:eastAsia="x-none"/>
        </w:rPr>
        <w:t xml:space="preserve"> – 21</w:t>
      </w:r>
      <w:r w:rsidRPr="00E0578C">
        <w:rPr>
          <w:rFonts w:eastAsia="MS Mincho"/>
          <w:sz w:val="22"/>
          <w:szCs w:val="24"/>
          <w:vertAlign w:val="superscript"/>
          <w:lang w:val="de-DE" w:eastAsia="x-none"/>
        </w:rPr>
        <w:t>st</w:t>
      </w:r>
      <w:r w:rsidRPr="00E0578C">
        <w:rPr>
          <w:rFonts w:eastAsia="MS Mincho"/>
          <w:sz w:val="22"/>
          <w:szCs w:val="24"/>
          <w:lang w:val="de-DE" w:eastAsia="x-none"/>
        </w:rPr>
        <w:t>, 2025</w:t>
      </w:r>
    </w:p>
    <w:p w14:paraId="78AF63CC" w14:textId="77777777" w:rsidR="008A48D8" w:rsidRPr="000A3EB5" w:rsidRDefault="008A48D8" w:rsidP="00147B8A">
      <w:pPr>
        <w:pStyle w:val="af0"/>
        <w:jc w:val="both"/>
        <w:rPr>
          <w:rFonts w:eastAsiaTheme="minorEastAsia"/>
          <w:bCs/>
          <w:sz w:val="28"/>
          <w:lang w:val="de-DE"/>
        </w:rPr>
      </w:pPr>
    </w:p>
    <w:p w14:paraId="263F7E50" w14:textId="09105565" w:rsidR="00E5433F" w:rsidRPr="00050BD2" w:rsidRDefault="00E5433F" w:rsidP="00147B8A">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8.8.4</w:t>
      </w:r>
    </w:p>
    <w:p w14:paraId="6CDD9A34" w14:textId="7A4A7658" w:rsidR="00E5433F" w:rsidRPr="00050BD2" w:rsidRDefault="00D853B1" w:rsidP="00147B8A">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2EF32B74" w:rsidR="009C535A" w:rsidRDefault="00E5433F" w:rsidP="00147B8A">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the support of </w:t>
      </w:r>
      <w:r w:rsidR="00805CC9">
        <w:rPr>
          <w:rFonts w:ascii="Arial" w:hAnsi="Arial" w:cs="Arial"/>
          <w:b/>
          <w:sz w:val="22"/>
        </w:rPr>
        <w:t>b</w:t>
      </w:r>
      <w:r w:rsidR="00AE4E04" w:rsidRPr="00AE4E04">
        <w:rPr>
          <w:rFonts w:ascii="Arial" w:hAnsi="Arial" w:cs="Arial"/>
          <w:b/>
          <w:sz w:val="22"/>
        </w:rPr>
        <w:t>roadcast service</w:t>
      </w:r>
    </w:p>
    <w:p w14:paraId="7E1D6554" w14:textId="5F25B71F" w:rsidR="00E5433F" w:rsidRPr="00050BD2" w:rsidRDefault="00E5433F" w:rsidP="00147B8A">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147B8A">
      <w:pPr>
        <w:pStyle w:val="1"/>
        <w:jc w:val="both"/>
        <w:rPr>
          <w:rFonts w:ascii="Times New Roman" w:hAnsi="Times New Roman"/>
          <w:b/>
          <w:bCs/>
          <w:sz w:val="20"/>
          <w:u w:val="single"/>
          <w:lang w:val="en-US"/>
        </w:rPr>
      </w:pPr>
      <w:r>
        <w:t>1</w:t>
      </w:r>
      <w:r>
        <w:tab/>
        <w:t>Introduction</w:t>
      </w:r>
    </w:p>
    <w:p w14:paraId="59FE5346" w14:textId="36795D3B" w:rsidR="00C81520" w:rsidRDefault="00C81520" w:rsidP="00147B8A">
      <w:pPr>
        <w:spacing w:beforeLines="50" w:before="120"/>
        <w:jc w:val="both"/>
        <w:rPr>
          <w:lang w:eastAsia="zh-CN"/>
        </w:rPr>
      </w:pPr>
      <w:r>
        <w:rPr>
          <w:lang w:eastAsia="zh-CN"/>
        </w:rPr>
        <w:t xml:space="preserve">During the </w:t>
      </w:r>
      <w:r w:rsidR="00C35E94">
        <w:rPr>
          <w:rFonts w:hint="eastAsia"/>
          <w:lang w:eastAsia="zh-CN"/>
        </w:rPr>
        <w:t>previous</w:t>
      </w:r>
      <w:r w:rsidR="00C35E94">
        <w:rPr>
          <w:lang w:eastAsia="zh-CN"/>
        </w:rPr>
        <w:t xml:space="preserve"> </w:t>
      </w:r>
      <w:r>
        <w:rPr>
          <w:lang w:eastAsia="zh-CN"/>
        </w:rPr>
        <w:t>meeting</w:t>
      </w:r>
      <w:r w:rsidR="00C35E94">
        <w:rPr>
          <w:lang w:eastAsia="zh-CN"/>
        </w:rPr>
        <w:t>s</w:t>
      </w:r>
      <w:r>
        <w:rPr>
          <w:lang w:eastAsia="zh-CN"/>
        </w:rPr>
        <w:t xml:space="preserve"> </w:t>
      </w:r>
      <w:r w:rsidR="00C35E94">
        <w:rPr>
          <w:lang w:eastAsia="zh-CN"/>
        </w:rPr>
        <w:t xml:space="preserve">for </w:t>
      </w:r>
      <w:r>
        <w:rPr>
          <w:lang w:eastAsia="zh-CN"/>
        </w:rPr>
        <w:t>Rel-19</w:t>
      </w:r>
      <w:r w:rsidR="00C35E94">
        <w:rPr>
          <w:lang w:eastAsia="zh-CN"/>
        </w:rPr>
        <w:t xml:space="preserve"> NTN</w:t>
      </w:r>
      <w:r>
        <w:rPr>
          <w:lang w:eastAsia="zh-CN"/>
        </w:rPr>
        <w:t xml:space="preserve">, RAN2 clarified use cases of the broadcast service in NTN system and </w:t>
      </w:r>
      <w:r w:rsidR="00B85D2C">
        <w:rPr>
          <w:rFonts w:hint="eastAsia"/>
          <w:lang w:eastAsia="zh-CN"/>
        </w:rPr>
        <w:t>made</w:t>
      </w:r>
      <w:r w:rsidR="00B85D2C">
        <w:rPr>
          <w:lang w:eastAsia="zh-CN"/>
        </w:rPr>
        <w:t xml:space="preserve"> some basic </w:t>
      </w:r>
      <w:r w:rsidR="00447853">
        <w:rPr>
          <w:lang w:eastAsia="zh-CN"/>
        </w:rPr>
        <w:t>agreements</w:t>
      </w:r>
      <w:r w:rsidR="000263FB">
        <w:rPr>
          <w:lang w:eastAsia="zh-CN"/>
        </w:rPr>
        <w:t xml:space="preserve"> during RAN2#12</w:t>
      </w:r>
      <w:r w:rsidR="007845BC">
        <w:rPr>
          <w:lang w:eastAsia="zh-CN"/>
        </w:rPr>
        <w:t>8</w:t>
      </w:r>
      <w:r w:rsidR="000263FB">
        <w:rPr>
          <w:lang w:eastAsia="zh-CN"/>
        </w:rPr>
        <w:t xml:space="preserve"> meeting</w:t>
      </w:r>
      <w:r w:rsidR="00447853">
        <w:rPr>
          <w:lang w:eastAsia="zh-CN"/>
        </w:rPr>
        <w:t xml:space="preserve"> as follows.</w:t>
      </w:r>
    </w:p>
    <w:tbl>
      <w:tblPr>
        <w:tblStyle w:val="af5"/>
        <w:tblW w:w="0" w:type="auto"/>
        <w:tblLook w:val="04A0" w:firstRow="1" w:lastRow="0" w:firstColumn="1" w:lastColumn="0" w:noHBand="0" w:noVBand="1"/>
      </w:tblPr>
      <w:tblGrid>
        <w:gridCol w:w="9631"/>
      </w:tblGrid>
      <w:tr w:rsidR="00C35E94" w14:paraId="369009CD" w14:textId="77777777" w:rsidTr="00C35E94">
        <w:tc>
          <w:tcPr>
            <w:tcW w:w="9631" w:type="dxa"/>
          </w:tcPr>
          <w:p w14:paraId="538DDEC1" w14:textId="77777777" w:rsidR="00C35E94" w:rsidRPr="00C35E94" w:rsidRDefault="00C35E94" w:rsidP="00147B8A">
            <w:pPr>
              <w:pStyle w:val="Doc-text2"/>
              <w:tabs>
                <w:tab w:val="clear" w:pos="1622"/>
                <w:tab w:val="left" w:pos="426"/>
              </w:tabs>
              <w:spacing w:line="276" w:lineRule="auto"/>
              <w:ind w:left="0" w:firstLine="0"/>
              <w:jc w:val="both"/>
              <w:rPr>
                <w:rFonts w:cs="Arial"/>
              </w:rPr>
            </w:pPr>
            <w:r w:rsidRPr="00C35E94">
              <w:rPr>
                <w:rFonts w:cs="Arial"/>
                <w:szCs w:val="20"/>
              </w:rPr>
              <w:t>Agreements:</w:t>
            </w:r>
          </w:p>
          <w:p w14:paraId="13CA95A4" w14:textId="77777777" w:rsidR="007845BC" w:rsidRPr="007845BC" w:rsidRDefault="007845BC" w:rsidP="00147B8A">
            <w:pPr>
              <w:widowControl w:val="0"/>
              <w:autoSpaceDE w:val="0"/>
              <w:autoSpaceDN w:val="0"/>
              <w:adjustRightInd w:val="0"/>
              <w:spacing w:after="0" w:line="276" w:lineRule="auto"/>
              <w:ind w:left="167" w:hanging="167"/>
              <w:contextualSpacing/>
              <w:jc w:val="both"/>
              <w:rPr>
                <w:rFonts w:ascii="Arial" w:eastAsia="微软雅黑" w:hAnsi="Arial" w:cs="Arial"/>
                <w:color w:val="000000"/>
                <w:kern w:val="24"/>
                <w:lang w:val="en-US" w:eastAsia="zh-CN"/>
              </w:rPr>
            </w:pPr>
            <w:r w:rsidRPr="007845BC">
              <w:rPr>
                <w:rFonts w:ascii="Arial" w:eastAsia="微软雅黑" w:hAnsi="Arial" w:cs="Arial"/>
                <w:color w:val="000000"/>
                <w:kern w:val="24"/>
                <w:lang w:val="en-US" w:eastAsia="zh-CN"/>
              </w:rPr>
              <w:t>1. The encoding of TN coverage introduced in Rel-18 in TS38.331, including tn-ReferenceLocation-r18 and tn-DistanceRadius-r18, is reused for the geographical area of the circle.</w:t>
            </w:r>
          </w:p>
          <w:p w14:paraId="5DDB72FE" w14:textId="77777777" w:rsidR="007845BC" w:rsidRPr="007845BC" w:rsidRDefault="007845BC" w:rsidP="00147B8A">
            <w:pPr>
              <w:widowControl w:val="0"/>
              <w:autoSpaceDE w:val="0"/>
              <w:autoSpaceDN w:val="0"/>
              <w:adjustRightInd w:val="0"/>
              <w:spacing w:after="0" w:line="276" w:lineRule="auto"/>
              <w:ind w:left="167" w:hanging="167"/>
              <w:contextualSpacing/>
              <w:jc w:val="both"/>
              <w:rPr>
                <w:rFonts w:ascii="Arial" w:eastAsia="微软雅黑" w:hAnsi="Arial" w:cs="Arial"/>
                <w:color w:val="000000"/>
                <w:kern w:val="24"/>
                <w:lang w:val="en-US" w:eastAsia="zh-CN"/>
              </w:rPr>
            </w:pPr>
            <w:r w:rsidRPr="007845BC">
              <w:rPr>
                <w:rFonts w:ascii="Arial" w:eastAsia="微软雅黑" w:hAnsi="Arial" w:cs="Arial"/>
                <w:color w:val="000000"/>
                <w:kern w:val="24"/>
                <w:lang w:val="en-US" w:eastAsia="zh-CN"/>
              </w:rPr>
              <w:t>2. The encoding of Polygon in TS37.355 is reused for the geographical area of the Polygon.</w:t>
            </w:r>
          </w:p>
          <w:p w14:paraId="46D75FE0" w14:textId="77777777" w:rsidR="007845BC" w:rsidRPr="007845BC" w:rsidRDefault="007845BC" w:rsidP="00147B8A">
            <w:pPr>
              <w:widowControl w:val="0"/>
              <w:autoSpaceDE w:val="0"/>
              <w:autoSpaceDN w:val="0"/>
              <w:adjustRightInd w:val="0"/>
              <w:spacing w:after="0" w:line="276" w:lineRule="auto"/>
              <w:ind w:left="167" w:hanging="167"/>
              <w:contextualSpacing/>
              <w:jc w:val="both"/>
              <w:rPr>
                <w:rFonts w:ascii="Arial" w:eastAsia="微软雅黑" w:hAnsi="Arial" w:cs="Arial"/>
                <w:color w:val="000000"/>
                <w:kern w:val="24"/>
                <w:lang w:val="en-US" w:eastAsia="zh-CN"/>
              </w:rPr>
            </w:pPr>
            <w:r w:rsidRPr="007845BC">
              <w:rPr>
                <w:rFonts w:ascii="Arial" w:eastAsia="微软雅黑" w:hAnsi="Arial" w:cs="Arial"/>
                <w:color w:val="000000"/>
                <w:kern w:val="24"/>
                <w:lang w:val="en-US" w:eastAsia="zh-CN"/>
              </w:rPr>
              <w:t xml:space="preserve">3. The </w:t>
            </w:r>
            <w:proofErr w:type="spellStart"/>
            <w:r w:rsidRPr="007845BC">
              <w:rPr>
                <w:rFonts w:ascii="Arial" w:eastAsia="微软雅黑" w:hAnsi="Arial" w:cs="Arial"/>
                <w:color w:val="000000"/>
                <w:kern w:val="24"/>
                <w:lang w:val="en-US" w:eastAsia="zh-CN"/>
              </w:rPr>
              <w:t>IntendedServiceArea</w:t>
            </w:r>
            <w:proofErr w:type="spellEnd"/>
            <w:r w:rsidRPr="007845BC">
              <w:rPr>
                <w:rFonts w:ascii="Arial" w:eastAsia="微软雅黑" w:hAnsi="Arial" w:cs="Arial"/>
                <w:color w:val="000000"/>
                <w:kern w:val="24"/>
                <w:lang w:val="en-US" w:eastAsia="zh-CN"/>
              </w:rPr>
              <w:t xml:space="preserve"> is considered as the IE name of the geographical area (we can still update the name in the CR implementation if needed)</w:t>
            </w:r>
          </w:p>
          <w:p w14:paraId="4F85F9E7" w14:textId="77777777" w:rsidR="007845BC" w:rsidRPr="007845BC" w:rsidRDefault="007845BC" w:rsidP="00147B8A">
            <w:pPr>
              <w:widowControl w:val="0"/>
              <w:autoSpaceDE w:val="0"/>
              <w:autoSpaceDN w:val="0"/>
              <w:adjustRightInd w:val="0"/>
              <w:spacing w:after="0" w:line="276" w:lineRule="auto"/>
              <w:ind w:left="167" w:hanging="167"/>
              <w:contextualSpacing/>
              <w:jc w:val="both"/>
              <w:rPr>
                <w:rFonts w:ascii="Arial" w:eastAsia="微软雅黑" w:hAnsi="Arial" w:cs="Arial"/>
                <w:color w:val="000000"/>
                <w:kern w:val="24"/>
                <w:lang w:val="en-US" w:eastAsia="zh-CN"/>
              </w:rPr>
            </w:pPr>
            <w:r w:rsidRPr="007845BC">
              <w:rPr>
                <w:rFonts w:ascii="Arial" w:eastAsia="微软雅黑" w:hAnsi="Arial" w:cs="Arial"/>
                <w:color w:val="000000"/>
                <w:kern w:val="24"/>
                <w:lang w:val="en-US" w:eastAsia="zh-CN"/>
              </w:rPr>
              <w:t xml:space="preserve">4. A </w:t>
            </w:r>
            <w:proofErr w:type="spellStart"/>
            <w:r w:rsidRPr="007845BC">
              <w:rPr>
                <w:rFonts w:ascii="Arial" w:eastAsia="微软雅黑" w:hAnsi="Arial" w:cs="Arial"/>
                <w:color w:val="000000"/>
                <w:kern w:val="24"/>
                <w:lang w:val="en-US" w:eastAsia="zh-CN"/>
              </w:rPr>
              <w:t>signalled</w:t>
            </w:r>
            <w:proofErr w:type="spellEnd"/>
            <w:r w:rsidRPr="007845BC">
              <w:rPr>
                <w:rFonts w:ascii="Arial" w:eastAsia="微软雅黑" w:hAnsi="Arial" w:cs="Arial"/>
                <w:color w:val="000000"/>
                <w:kern w:val="24"/>
                <w:lang w:val="en-US" w:eastAsia="zh-CN"/>
              </w:rPr>
              <w:t xml:space="preserve"> intended service area for </w:t>
            </w:r>
            <w:proofErr w:type="gramStart"/>
            <w:r w:rsidRPr="007845BC">
              <w:rPr>
                <w:rFonts w:ascii="Arial" w:eastAsia="微软雅黑" w:hAnsi="Arial" w:cs="Arial"/>
                <w:color w:val="000000"/>
                <w:kern w:val="24"/>
                <w:lang w:val="en-US" w:eastAsia="zh-CN"/>
              </w:rPr>
              <w:t>a</w:t>
            </w:r>
            <w:proofErr w:type="gramEnd"/>
            <w:r w:rsidRPr="007845BC">
              <w:rPr>
                <w:rFonts w:ascii="Arial" w:eastAsia="微软雅黑" w:hAnsi="Arial" w:cs="Arial"/>
                <w:color w:val="000000"/>
                <w:kern w:val="24"/>
                <w:lang w:val="en-US" w:eastAsia="zh-CN"/>
              </w:rPr>
              <w:t xml:space="preserve"> MBS BC service may include geographic areas across the current serving cell and overlapping neighbor cell(s).</w:t>
            </w:r>
          </w:p>
          <w:p w14:paraId="61D0F17A" w14:textId="77777777" w:rsidR="007845BC" w:rsidRPr="007845BC" w:rsidRDefault="007845BC" w:rsidP="00147B8A">
            <w:pPr>
              <w:widowControl w:val="0"/>
              <w:autoSpaceDE w:val="0"/>
              <w:autoSpaceDN w:val="0"/>
              <w:adjustRightInd w:val="0"/>
              <w:spacing w:after="0" w:line="276" w:lineRule="auto"/>
              <w:ind w:left="167" w:hanging="167"/>
              <w:contextualSpacing/>
              <w:jc w:val="both"/>
              <w:rPr>
                <w:rFonts w:ascii="Arial" w:eastAsia="微软雅黑" w:hAnsi="Arial" w:cs="Arial"/>
                <w:color w:val="000000"/>
                <w:kern w:val="24"/>
                <w:lang w:val="en-US" w:eastAsia="zh-CN"/>
              </w:rPr>
            </w:pPr>
            <w:r w:rsidRPr="007845BC">
              <w:rPr>
                <w:rFonts w:ascii="Arial" w:eastAsia="微软雅黑" w:hAnsi="Arial" w:cs="Arial"/>
                <w:color w:val="000000"/>
                <w:kern w:val="24"/>
                <w:lang w:val="en-US" w:eastAsia="zh-CN"/>
              </w:rPr>
              <w:t xml:space="preserve">5. RAN2 understands that the geographic area information for the intended service areas can be semi-static and not cause frequent updates.  </w:t>
            </w:r>
          </w:p>
          <w:p w14:paraId="27CCB801" w14:textId="77777777" w:rsidR="007845BC" w:rsidRPr="007845BC" w:rsidRDefault="007845BC" w:rsidP="00147B8A">
            <w:pPr>
              <w:widowControl w:val="0"/>
              <w:autoSpaceDE w:val="0"/>
              <w:autoSpaceDN w:val="0"/>
              <w:adjustRightInd w:val="0"/>
              <w:spacing w:after="0" w:line="276" w:lineRule="auto"/>
              <w:ind w:left="307" w:hanging="307"/>
              <w:contextualSpacing/>
              <w:jc w:val="both"/>
              <w:rPr>
                <w:rFonts w:ascii="Arial" w:eastAsia="微软雅黑" w:hAnsi="Arial" w:cs="Arial"/>
                <w:color w:val="000000"/>
                <w:kern w:val="24"/>
                <w:lang w:val="en-US" w:eastAsia="zh-CN"/>
              </w:rPr>
            </w:pPr>
            <w:r w:rsidRPr="007845BC">
              <w:rPr>
                <w:rFonts w:ascii="Arial" w:eastAsia="微软雅黑" w:hAnsi="Arial" w:cs="Arial"/>
                <w:color w:val="000000"/>
                <w:kern w:val="24"/>
                <w:lang w:val="en-US" w:eastAsia="zh-CN"/>
              </w:rPr>
              <w:t>6. Introduce a new SIB to include a list of intended service areas and related pointer (FFS if we point to the intended services areas via the index in the list or with an ID or another way)</w:t>
            </w:r>
          </w:p>
          <w:p w14:paraId="75D990AC" w14:textId="73BBBA4E" w:rsidR="00C35E94" w:rsidRPr="005D3221" w:rsidRDefault="007845BC" w:rsidP="00147B8A">
            <w:pPr>
              <w:widowControl w:val="0"/>
              <w:autoSpaceDE w:val="0"/>
              <w:autoSpaceDN w:val="0"/>
              <w:adjustRightInd w:val="0"/>
              <w:spacing w:after="0" w:line="276" w:lineRule="auto"/>
              <w:ind w:left="167" w:hanging="167"/>
              <w:contextualSpacing/>
              <w:jc w:val="both"/>
              <w:rPr>
                <w:rFonts w:ascii="Arial" w:eastAsia="Times New Roman" w:hAnsi="Arial" w:cs="Arial"/>
                <w:lang w:val="en-US" w:eastAsia="zh-CN"/>
              </w:rPr>
            </w:pPr>
            <w:r w:rsidRPr="007845BC">
              <w:rPr>
                <w:rFonts w:ascii="Arial" w:eastAsia="微软雅黑" w:hAnsi="Arial" w:cs="Arial"/>
                <w:color w:val="000000"/>
                <w:kern w:val="24"/>
                <w:lang w:val="en-US" w:eastAsia="zh-CN"/>
              </w:rPr>
              <w:t>7. The legacy SIB modification procedure is applied to update the intended service area information in the new SIB.</w:t>
            </w:r>
          </w:p>
        </w:tc>
      </w:tr>
    </w:tbl>
    <w:p w14:paraId="69A01D0C" w14:textId="194672D3" w:rsidR="003604D4" w:rsidRPr="003604D4" w:rsidRDefault="006B68A2" w:rsidP="00147B8A">
      <w:pPr>
        <w:spacing w:beforeLines="50" w:before="120"/>
        <w:jc w:val="both"/>
        <w:rPr>
          <w:lang w:eastAsia="zh-CN"/>
        </w:rPr>
      </w:pPr>
      <w:bookmarkStart w:id="0" w:name="_Hlk134451243"/>
      <w:r>
        <w:rPr>
          <w:lang w:eastAsia="zh-CN"/>
        </w:rPr>
        <w:t xml:space="preserve">In this contribution, we would further discuss how to </w:t>
      </w:r>
      <w:r w:rsidR="00805CC9">
        <w:rPr>
          <w:lang w:eastAsia="zh-CN"/>
        </w:rPr>
        <w:t>provide the broadcast service via NTN</w:t>
      </w:r>
      <w:r>
        <w:rPr>
          <w:lang w:eastAsia="zh-CN"/>
        </w:rPr>
        <w:t xml:space="preserve"> based on the previous agreements</w:t>
      </w:r>
      <w:r w:rsidR="003604D4">
        <w:rPr>
          <w:lang w:eastAsia="zh-CN"/>
        </w:rPr>
        <w:t>.</w:t>
      </w:r>
    </w:p>
    <w:bookmarkEnd w:id="0"/>
    <w:p w14:paraId="49B5CBBB" w14:textId="357B5DF1" w:rsidR="008A48D8" w:rsidRDefault="0027177C" w:rsidP="00147B8A">
      <w:pPr>
        <w:pStyle w:val="1"/>
        <w:numPr>
          <w:ilvl w:val="0"/>
          <w:numId w:val="4"/>
        </w:numPr>
        <w:jc w:val="both"/>
      </w:pPr>
      <w:r>
        <w:t xml:space="preserve">       </w:t>
      </w:r>
      <w:r w:rsidR="00124F8D">
        <w:t>Discussion</w:t>
      </w:r>
      <w:r w:rsidR="00F90FD1">
        <w:t xml:space="preserve"> </w:t>
      </w:r>
    </w:p>
    <w:p w14:paraId="2F46721A" w14:textId="60110893" w:rsidR="009A526D" w:rsidRPr="00600F13" w:rsidRDefault="009A526D" w:rsidP="00147B8A">
      <w:pPr>
        <w:spacing w:beforeLines="50" w:before="120"/>
        <w:jc w:val="both"/>
        <w:rPr>
          <w:b/>
          <w:lang w:eastAsia="zh-CN"/>
        </w:rPr>
      </w:pPr>
      <w:r>
        <w:rPr>
          <w:lang w:eastAsia="zh-CN"/>
        </w:rPr>
        <w:t xml:space="preserve">In addition, </w:t>
      </w:r>
      <w:r w:rsidR="00CE79F8">
        <w:rPr>
          <w:lang w:eastAsia="zh-CN"/>
        </w:rPr>
        <w:t>we need to discuss the node to perform</w:t>
      </w:r>
      <w:r>
        <w:rPr>
          <w:lang w:eastAsia="zh-CN"/>
        </w:rPr>
        <w:t xml:space="preserve"> the association of the intended service area and the broadcast service. Unlike the interest of area, the intended service area is to </w:t>
      </w:r>
      <w:r w:rsidR="00CE79F8">
        <w:rPr>
          <w:lang w:eastAsia="zh-CN"/>
        </w:rPr>
        <w:t>indicate</w:t>
      </w:r>
      <w:r>
        <w:rPr>
          <w:lang w:eastAsia="zh-CN"/>
        </w:rPr>
        <w:t xml:space="preserve"> the region for the broadcast service. For example, only the people in nation A could watch the news </w:t>
      </w:r>
      <w:r w:rsidR="00AE66BE">
        <w:rPr>
          <w:lang w:eastAsia="zh-CN"/>
        </w:rPr>
        <w:t xml:space="preserve">from the channel </w:t>
      </w:r>
      <w:r w:rsidR="00AE66BE">
        <w:rPr>
          <w:rFonts w:hint="eastAsia"/>
          <w:lang w:eastAsia="zh-CN"/>
        </w:rPr>
        <w:t>of</w:t>
      </w:r>
      <w:r w:rsidR="00AE66BE">
        <w:rPr>
          <w:lang w:eastAsia="zh-CN"/>
        </w:rPr>
        <w:t xml:space="preserve"> the nation A. Thus, the higher layer could make the association based on the policy</w:t>
      </w:r>
      <w:r w:rsidR="00CE79F8">
        <w:rPr>
          <w:lang w:eastAsia="zh-CN"/>
        </w:rPr>
        <w:t>/strategy</w:t>
      </w:r>
      <w:r w:rsidR="00AE66BE">
        <w:rPr>
          <w:lang w:eastAsia="zh-CN"/>
        </w:rPr>
        <w:t xml:space="preserve"> provided by the service providers. </w:t>
      </w:r>
      <w:r w:rsidR="00CE79F8">
        <w:rPr>
          <w:lang w:eastAsia="zh-CN"/>
        </w:rPr>
        <w:t xml:space="preserve">In another hand, since the intended service area is divided by the RAN, the CN could forward the policy/strategy provided by the service providers to RAN and RAN </w:t>
      </w:r>
      <w:r w:rsidR="0027177C">
        <w:rPr>
          <w:lang w:eastAsia="zh-CN"/>
        </w:rPr>
        <w:t xml:space="preserve">to </w:t>
      </w:r>
      <w:r w:rsidR="00CE79F8" w:rsidRPr="00600F13">
        <w:rPr>
          <w:lang w:eastAsia="zh-CN"/>
        </w:rPr>
        <w:t>perform the association.</w:t>
      </w:r>
      <w:r w:rsidR="004F3BDB">
        <w:rPr>
          <w:lang w:eastAsia="zh-CN"/>
        </w:rPr>
        <w:t xml:space="preserve"> Although the final decision would be made in SA2 or RAN3, RAN2 as the leading group for this topic could </w:t>
      </w:r>
      <w:r w:rsidR="007E0BBD">
        <w:rPr>
          <w:lang w:eastAsia="zh-CN"/>
        </w:rPr>
        <w:t>trigger</w:t>
      </w:r>
      <w:r w:rsidR="004F3BDB">
        <w:rPr>
          <w:lang w:eastAsia="zh-CN"/>
        </w:rPr>
        <w:t xml:space="preserve"> the discussion based on our observation, especially when SA2 has no TU for this topic.</w:t>
      </w:r>
    </w:p>
    <w:p w14:paraId="4A353347" w14:textId="77777777" w:rsidR="007845BC" w:rsidRDefault="007845BC" w:rsidP="00147B8A">
      <w:pPr>
        <w:spacing w:beforeLines="50" w:before="120"/>
        <w:jc w:val="both"/>
        <w:rPr>
          <w:b/>
          <w:lang w:eastAsia="zh-CN"/>
        </w:rPr>
      </w:pPr>
      <w:r w:rsidRPr="007845BC">
        <w:rPr>
          <w:b/>
          <w:lang w:eastAsia="zh-CN"/>
        </w:rPr>
        <w:t xml:space="preserve">Proposal 1: RAN2 to discuss the association of the intended service area and the broadcast service is provided by CN or </w:t>
      </w:r>
      <w:proofErr w:type="spellStart"/>
      <w:r w:rsidRPr="007845BC">
        <w:rPr>
          <w:b/>
          <w:lang w:eastAsia="zh-CN"/>
        </w:rPr>
        <w:t>gNB</w:t>
      </w:r>
      <w:proofErr w:type="spellEnd"/>
      <w:r w:rsidRPr="007845BC">
        <w:rPr>
          <w:b/>
          <w:lang w:eastAsia="zh-CN"/>
        </w:rPr>
        <w:t xml:space="preserve"> to UE. LS to SA2/RAN3 may be needed.</w:t>
      </w:r>
    </w:p>
    <w:p w14:paraId="58F51529" w14:textId="0939A0A7" w:rsidR="00EA069A" w:rsidRDefault="002254E4" w:rsidP="00147B8A">
      <w:pPr>
        <w:widowControl w:val="0"/>
        <w:autoSpaceDE w:val="0"/>
        <w:autoSpaceDN w:val="0"/>
        <w:adjustRightInd w:val="0"/>
        <w:spacing w:after="0"/>
        <w:jc w:val="both"/>
        <w:rPr>
          <w:lang w:eastAsia="zh-CN"/>
        </w:rPr>
      </w:pPr>
      <w:r>
        <w:rPr>
          <w:lang w:val="en-US" w:eastAsia="zh-CN"/>
        </w:rPr>
        <w:t xml:space="preserve">During </w:t>
      </w:r>
      <w:r w:rsidR="004F3BDB">
        <w:rPr>
          <w:lang w:val="en-US" w:eastAsia="zh-CN"/>
        </w:rPr>
        <w:t xml:space="preserve">the </w:t>
      </w:r>
      <w:r>
        <w:rPr>
          <w:lang w:val="en-US" w:eastAsia="zh-CN"/>
        </w:rPr>
        <w:t xml:space="preserve">last meeting, RAN2 agreed to have the list of the </w:t>
      </w:r>
      <w:r w:rsidRPr="002254E4">
        <w:rPr>
          <w:lang w:val="en-US" w:eastAsia="zh-CN"/>
        </w:rPr>
        <w:t>intended service areas and related pointer</w:t>
      </w:r>
      <w:r>
        <w:rPr>
          <w:lang w:val="en-US" w:eastAsia="zh-CN"/>
        </w:rPr>
        <w:t xml:space="preserve">, but left with the FFS about what is this pointer. </w:t>
      </w:r>
      <w:r w:rsidRPr="002254E4">
        <w:rPr>
          <w:lang w:val="en-US" w:eastAsia="zh-CN"/>
        </w:rPr>
        <w:t xml:space="preserve">To reduce the </w:t>
      </w:r>
      <w:proofErr w:type="spellStart"/>
      <w:r w:rsidRPr="002254E4">
        <w:rPr>
          <w:lang w:val="en-US" w:eastAsia="zh-CN"/>
        </w:rPr>
        <w:t>signalling</w:t>
      </w:r>
      <w:proofErr w:type="spellEnd"/>
      <w:r w:rsidRPr="002254E4">
        <w:rPr>
          <w:lang w:val="en-US" w:eastAsia="zh-CN"/>
        </w:rPr>
        <w:t xml:space="preserve"> burden, the index associated with the service area could be provided one by one. In this way, UE could derive the ID related to the area where it located and compare it with the ID which is carried in the MCCH.</w:t>
      </w:r>
    </w:p>
    <w:p w14:paraId="3D077D3C" w14:textId="1EC9C818" w:rsidR="007762BF" w:rsidRDefault="007845BC" w:rsidP="00147B8A">
      <w:pPr>
        <w:spacing w:beforeLines="50" w:before="120"/>
        <w:jc w:val="both"/>
        <w:rPr>
          <w:b/>
          <w:lang w:eastAsia="zh-CN"/>
        </w:rPr>
      </w:pPr>
      <w:r w:rsidRPr="007845BC">
        <w:rPr>
          <w:b/>
          <w:lang w:eastAsia="zh-CN"/>
        </w:rPr>
        <w:t>Proposal 2: List of ISAs and related index is provided in the new SIB, i.e., there is a corresponding relationship between service area and the index.</w:t>
      </w:r>
    </w:p>
    <w:p w14:paraId="3C3397AC" w14:textId="10DCCC8A" w:rsidR="007845BC" w:rsidRDefault="007845BC" w:rsidP="00147B8A">
      <w:pPr>
        <w:widowControl w:val="0"/>
        <w:autoSpaceDE w:val="0"/>
        <w:autoSpaceDN w:val="0"/>
        <w:adjustRightInd w:val="0"/>
        <w:spacing w:after="0"/>
        <w:jc w:val="both"/>
        <w:rPr>
          <w:lang w:val="en-US" w:eastAsia="zh-CN"/>
        </w:rPr>
      </w:pPr>
      <w:r w:rsidRPr="007845BC">
        <w:rPr>
          <w:lang w:val="en-US" w:eastAsia="zh-CN"/>
        </w:rPr>
        <w:t>Considering the size of the new SIB, if the UE already obtained the list of some area across cells, it could save it to the variable part and use it based on the info provided in the MCCH when mov</w:t>
      </w:r>
      <w:r w:rsidR="009E5A36">
        <w:rPr>
          <w:lang w:val="en-US" w:eastAsia="zh-CN"/>
        </w:rPr>
        <w:t>ing</w:t>
      </w:r>
      <w:r w:rsidRPr="007845BC">
        <w:rPr>
          <w:lang w:val="en-US" w:eastAsia="zh-CN"/>
        </w:rPr>
        <w:t xml:space="preserve"> </w:t>
      </w:r>
      <w:r w:rsidR="009E5A36">
        <w:rPr>
          <w:lang w:val="en-US" w:eastAsia="zh-CN"/>
        </w:rPr>
        <w:t>to</w:t>
      </w:r>
      <w:r w:rsidRPr="007845BC">
        <w:rPr>
          <w:lang w:val="en-US" w:eastAsia="zh-CN"/>
        </w:rPr>
        <w:t xml:space="preserve"> another cell. In this way, UE is not required to re-obtain the new SIB before it establish</w:t>
      </w:r>
      <w:r w:rsidR="00511380">
        <w:rPr>
          <w:lang w:val="en-US" w:eastAsia="zh-CN"/>
        </w:rPr>
        <w:t>es</w:t>
      </w:r>
      <w:r w:rsidRPr="007845BC">
        <w:rPr>
          <w:lang w:val="en-US" w:eastAsia="zh-CN"/>
        </w:rPr>
        <w:t>/release</w:t>
      </w:r>
      <w:r w:rsidR="00511380">
        <w:rPr>
          <w:lang w:val="en-US" w:eastAsia="zh-CN"/>
        </w:rPr>
        <w:t>s</w:t>
      </w:r>
      <w:r w:rsidRPr="007845BC">
        <w:rPr>
          <w:lang w:val="en-US" w:eastAsia="zh-CN"/>
        </w:rPr>
        <w:t xml:space="preserve"> the MRB if there is no update (reuse the legacy </w:t>
      </w:r>
      <w:proofErr w:type="spellStart"/>
      <w:r w:rsidRPr="002254E4">
        <w:rPr>
          <w:i/>
          <w:iCs/>
          <w:lang w:val="en-US" w:eastAsia="zh-CN"/>
        </w:rPr>
        <w:t>systemInformationAreaID</w:t>
      </w:r>
      <w:proofErr w:type="spellEnd"/>
      <w:r w:rsidRPr="007845BC">
        <w:rPr>
          <w:lang w:val="en-US" w:eastAsia="zh-CN"/>
        </w:rPr>
        <w:t xml:space="preserve"> of the SIB is not changed) when it </w:t>
      </w:r>
      <w:r w:rsidR="00511380">
        <w:rPr>
          <w:lang w:val="en-US" w:eastAsia="zh-CN"/>
        </w:rPr>
        <w:t xml:space="preserve">is </w:t>
      </w:r>
      <w:r w:rsidRPr="007845BC">
        <w:rPr>
          <w:lang w:val="en-US" w:eastAsia="zh-CN"/>
        </w:rPr>
        <w:t>still within the area in the obtained area info.</w:t>
      </w:r>
    </w:p>
    <w:p w14:paraId="634C81BB" w14:textId="77777777" w:rsidR="007845BC" w:rsidRPr="007845BC" w:rsidRDefault="007845BC" w:rsidP="00147B8A">
      <w:pPr>
        <w:spacing w:beforeLines="50" w:before="120"/>
        <w:jc w:val="both"/>
        <w:rPr>
          <w:b/>
          <w:lang w:eastAsia="zh-CN"/>
        </w:rPr>
      </w:pPr>
      <w:r w:rsidRPr="007845BC">
        <w:rPr>
          <w:b/>
          <w:lang w:eastAsia="zh-CN"/>
        </w:rPr>
        <w:lastRenderedPageBreak/>
        <w:t>Proposal 3</w:t>
      </w:r>
      <w:r w:rsidRPr="007845BC">
        <w:rPr>
          <w:rFonts w:hint="eastAsia"/>
          <w:b/>
          <w:lang w:eastAsia="zh-CN"/>
        </w:rPr>
        <w:t>：</w:t>
      </w:r>
      <w:r w:rsidRPr="007845BC">
        <w:rPr>
          <w:b/>
          <w:lang w:eastAsia="zh-CN"/>
        </w:rPr>
        <w:t>The index of the intended service areas is unified assigned across cells.</w:t>
      </w:r>
    </w:p>
    <w:p w14:paraId="0919CA1D" w14:textId="53BBA07F" w:rsidR="007845BC" w:rsidRPr="007845BC" w:rsidRDefault="007845BC" w:rsidP="00147B8A">
      <w:pPr>
        <w:widowControl w:val="0"/>
        <w:autoSpaceDE w:val="0"/>
        <w:autoSpaceDN w:val="0"/>
        <w:adjustRightInd w:val="0"/>
        <w:spacing w:after="0"/>
        <w:jc w:val="both"/>
        <w:rPr>
          <w:lang w:val="en-US" w:eastAsia="zh-CN"/>
        </w:rPr>
      </w:pPr>
      <w:r w:rsidRPr="007845BC">
        <w:rPr>
          <w:lang w:val="en-US" w:eastAsia="zh-CN"/>
        </w:rPr>
        <w:t xml:space="preserve">Although the issue is more severe in the NTN scenario, </w:t>
      </w:r>
      <w:r w:rsidR="00662D19">
        <w:rPr>
          <w:lang w:val="en-US" w:eastAsia="zh-CN"/>
        </w:rPr>
        <w:t xml:space="preserve">the </w:t>
      </w:r>
      <w:r w:rsidR="00662D19" w:rsidRPr="00662D19">
        <w:rPr>
          <w:lang w:val="en-US" w:eastAsia="zh-CN"/>
        </w:rPr>
        <w:t xml:space="preserve">intended </w:t>
      </w:r>
      <w:r w:rsidR="00662D19">
        <w:rPr>
          <w:lang w:val="en-US" w:eastAsia="zh-CN"/>
        </w:rPr>
        <w:t xml:space="preserve">area is defined since the NTN cell may be too big to provide MBS service within the proper area. However, the TN cell is related to the deployment of the </w:t>
      </w:r>
      <w:proofErr w:type="spellStart"/>
      <w:proofErr w:type="gramStart"/>
      <w:r w:rsidR="00662D19">
        <w:rPr>
          <w:lang w:val="en-US" w:eastAsia="zh-CN"/>
        </w:rPr>
        <w:t>gNB</w:t>
      </w:r>
      <w:proofErr w:type="spellEnd"/>
      <w:proofErr w:type="gramEnd"/>
      <w:r w:rsidR="00662D19">
        <w:rPr>
          <w:lang w:val="en-US" w:eastAsia="zh-CN"/>
        </w:rPr>
        <w:t xml:space="preserve"> and the intended service area is based on the policy provided by the service provider. This means the border of the </w:t>
      </w:r>
      <w:r w:rsidR="00662D19" w:rsidRPr="00662D19">
        <w:rPr>
          <w:lang w:val="en-US" w:eastAsia="zh-CN"/>
        </w:rPr>
        <w:t xml:space="preserve">intended </w:t>
      </w:r>
      <w:r w:rsidR="00662D19">
        <w:rPr>
          <w:lang w:val="en-US" w:eastAsia="zh-CN"/>
        </w:rPr>
        <w:t xml:space="preserve">service area may be not aligned with the border of the TN cell. Thus, </w:t>
      </w:r>
      <w:r w:rsidRPr="007845BC">
        <w:rPr>
          <w:lang w:val="en-US" w:eastAsia="zh-CN"/>
        </w:rPr>
        <w:t xml:space="preserve">TN UEs could also utilize the info to understand whether it can obtain the specific MBS service based on its location. </w:t>
      </w:r>
    </w:p>
    <w:p w14:paraId="4BCF66A1" w14:textId="24881256" w:rsidR="007845BC" w:rsidRPr="003B29A6" w:rsidRDefault="007845BC" w:rsidP="00147B8A">
      <w:pPr>
        <w:spacing w:beforeLines="50" w:before="120"/>
        <w:jc w:val="both"/>
        <w:rPr>
          <w:b/>
          <w:lang w:eastAsia="zh-CN"/>
        </w:rPr>
      </w:pPr>
      <w:r w:rsidRPr="007845BC">
        <w:rPr>
          <w:b/>
          <w:lang w:eastAsia="zh-CN"/>
        </w:rPr>
        <w:t>Proposal 4: The MBS intended service area mechanism should not be restricted to neither NTN cells nor NTN-capable UEs.</w:t>
      </w:r>
    </w:p>
    <w:p w14:paraId="149D8C5D" w14:textId="3148FC65" w:rsidR="00FC3356" w:rsidRPr="004856D9" w:rsidRDefault="00B42365" w:rsidP="00147B8A">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6233C985" w:rsidR="00F17FC9" w:rsidRDefault="00B84B48" w:rsidP="00147B8A">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EB29ED">
        <w:rPr>
          <w:rFonts w:ascii="Times New Roman" w:eastAsia="宋体" w:hAnsi="Times New Roman" w:cs="Times New Roman"/>
          <w:sz w:val="20"/>
          <w:szCs w:val="20"/>
          <w:lang w:val="x-none" w:eastAsia="zh-CN"/>
        </w:rPr>
        <w:t>intended service area 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0D897309" w14:textId="77777777" w:rsidR="00A01791" w:rsidRDefault="00A01791" w:rsidP="00147B8A">
      <w:pPr>
        <w:spacing w:beforeLines="50" w:before="120"/>
        <w:jc w:val="both"/>
        <w:rPr>
          <w:b/>
          <w:lang w:eastAsia="zh-CN"/>
        </w:rPr>
      </w:pPr>
      <w:r w:rsidRPr="007845BC">
        <w:rPr>
          <w:b/>
          <w:lang w:eastAsia="zh-CN"/>
        </w:rPr>
        <w:t xml:space="preserve">Proposal 1: RAN2 to discuss the association of the intended service area and the broadcast service is provided by CN or </w:t>
      </w:r>
      <w:proofErr w:type="spellStart"/>
      <w:r w:rsidRPr="007845BC">
        <w:rPr>
          <w:b/>
          <w:lang w:eastAsia="zh-CN"/>
        </w:rPr>
        <w:t>gNB</w:t>
      </w:r>
      <w:proofErr w:type="spellEnd"/>
      <w:r w:rsidRPr="007845BC">
        <w:rPr>
          <w:b/>
          <w:lang w:eastAsia="zh-CN"/>
        </w:rPr>
        <w:t xml:space="preserve"> to UE. LS to SA2/RAN3 may be needed.</w:t>
      </w:r>
    </w:p>
    <w:p w14:paraId="6FEED4C0" w14:textId="77777777" w:rsidR="00A01791" w:rsidRDefault="00A01791" w:rsidP="00147B8A">
      <w:pPr>
        <w:spacing w:beforeLines="50" w:before="120"/>
        <w:jc w:val="both"/>
        <w:rPr>
          <w:b/>
          <w:lang w:eastAsia="zh-CN"/>
        </w:rPr>
      </w:pPr>
      <w:r w:rsidRPr="007845BC">
        <w:rPr>
          <w:b/>
          <w:lang w:eastAsia="zh-CN"/>
        </w:rPr>
        <w:t>Proposal 2: List of ISAs and related index is provided in the new SIB, i.e., there is a corresponding relationship between service area and the index.</w:t>
      </w:r>
    </w:p>
    <w:p w14:paraId="0BB5FDA3" w14:textId="77777777" w:rsidR="00A01791" w:rsidRDefault="00A01791" w:rsidP="00147B8A">
      <w:pPr>
        <w:spacing w:beforeLines="50" w:before="120"/>
        <w:jc w:val="both"/>
        <w:rPr>
          <w:b/>
          <w:lang w:eastAsia="zh-CN"/>
        </w:rPr>
      </w:pPr>
      <w:r w:rsidRPr="007845BC">
        <w:rPr>
          <w:b/>
          <w:lang w:eastAsia="zh-CN"/>
        </w:rPr>
        <w:t>Proposal 3</w:t>
      </w:r>
      <w:r w:rsidRPr="007845BC">
        <w:rPr>
          <w:rFonts w:hint="eastAsia"/>
          <w:b/>
          <w:lang w:eastAsia="zh-CN"/>
        </w:rPr>
        <w:t>：</w:t>
      </w:r>
      <w:r w:rsidRPr="007845BC">
        <w:rPr>
          <w:b/>
          <w:lang w:eastAsia="zh-CN"/>
        </w:rPr>
        <w:t>The index of the intended service areas is unified assigned across cells.</w:t>
      </w:r>
    </w:p>
    <w:p w14:paraId="5F99F7A3" w14:textId="6D77B5D8" w:rsidR="00A01791" w:rsidRPr="007845BC" w:rsidRDefault="00A01791" w:rsidP="00147B8A">
      <w:pPr>
        <w:spacing w:beforeLines="50" w:before="120"/>
        <w:jc w:val="both"/>
        <w:rPr>
          <w:b/>
          <w:lang w:eastAsia="zh-CN"/>
        </w:rPr>
      </w:pPr>
      <w:r w:rsidRPr="007845BC">
        <w:rPr>
          <w:b/>
          <w:lang w:eastAsia="zh-CN"/>
        </w:rPr>
        <w:t>Proposal 4: The MBS intended service area mechanism should not be restricted to neither NTN cells nor NTN-capable UEs.</w:t>
      </w:r>
    </w:p>
    <w:p w14:paraId="56DACC97" w14:textId="310E1D9C" w:rsidR="008A48D8" w:rsidRDefault="00B42365" w:rsidP="00147B8A">
      <w:pPr>
        <w:pStyle w:val="1"/>
        <w:pBdr>
          <w:top w:val="single" w:sz="12" w:space="5" w:color="auto"/>
        </w:pBdr>
        <w:jc w:val="both"/>
        <w:rPr>
          <w:lang w:val="en-US"/>
        </w:rPr>
      </w:pPr>
      <w:r>
        <w:rPr>
          <w:lang w:val="en-US"/>
        </w:rPr>
        <w:t>4</w:t>
      </w:r>
      <w:r w:rsidR="001D7BC3">
        <w:rPr>
          <w:lang w:val="en-US"/>
        </w:rPr>
        <w:tab/>
        <w:t>References</w:t>
      </w:r>
    </w:p>
    <w:p w14:paraId="3E946B14" w14:textId="2660AA0F" w:rsidR="00937046" w:rsidRPr="00E66300" w:rsidRDefault="00937046" w:rsidP="00147B8A">
      <w:pPr>
        <w:pStyle w:val="af7"/>
        <w:numPr>
          <w:ilvl w:val="0"/>
          <w:numId w:val="8"/>
        </w:numPr>
        <w:ind w:firstLineChars="0"/>
        <w:jc w:val="both"/>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EF8D" w14:textId="77777777" w:rsidR="0039076F" w:rsidRDefault="0039076F" w:rsidP="002E4526">
      <w:pPr>
        <w:spacing w:after="0"/>
      </w:pPr>
      <w:r>
        <w:separator/>
      </w:r>
    </w:p>
  </w:endnote>
  <w:endnote w:type="continuationSeparator" w:id="0">
    <w:p w14:paraId="1F082CB2" w14:textId="77777777" w:rsidR="0039076F" w:rsidRDefault="0039076F" w:rsidP="002E4526">
      <w:pPr>
        <w:spacing w:after="0"/>
      </w:pPr>
      <w:r>
        <w:continuationSeparator/>
      </w:r>
    </w:p>
  </w:endnote>
  <w:endnote w:type="continuationNotice" w:id="1">
    <w:p w14:paraId="0B80B781" w14:textId="77777777" w:rsidR="0039076F" w:rsidRDefault="00390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4E731" w14:textId="77777777" w:rsidR="0039076F" w:rsidRDefault="0039076F" w:rsidP="002E4526">
      <w:pPr>
        <w:spacing w:after="0"/>
      </w:pPr>
      <w:r>
        <w:separator/>
      </w:r>
    </w:p>
  </w:footnote>
  <w:footnote w:type="continuationSeparator" w:id="0">
    <w:p w14:paraId="7CBF4493" w14:textId="77777777" w:rsidR="0039076F" w:rsidRDefault="0039076F" w:rsidP="002E4526">
      <w:pPr>
        <w:spacing w:after="0"/>
      </w:pPr>
      <w:r>
        <w:continuationSeparator/>
      </w:r>
    </w:p>
  </w:footnote>
  <w:footnote w:type="continuationNotice" w:id="1">
    <w:p w14:paraId="0A2E9EC1" w14:textId="77777777" w:rsidR="0039076F" w:rsidRDefault="00390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3A037C1"/>
    <w:multiLevelType w:val="hybridMultilevel"/>
    <w:tmpl w:val="1BA86076"/>
    <w:lvl w:ilvl="0" w:tplc="04090009">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337B86"/>
    <w:multiLevelType w:val="hybridMultilevel"/>
    <w:tmpl w:val="41220224"/>
    <w:lvl w:ilvl="0" w:tplc="75FCE104">
      <w:start w:val="1"/>
      <w:numFmt w:val="bullet"/>
      <w:lvlText w:val=""/>
      <w:lvlJc w:val="left"/>
      <w:pPr>
        <w:tabs>
          <w:tab w:val="num" w:pos="720"/>
        </w:tabs>
        <w:ind w:left="720" w:hanging="360"/>
      </w:pPr>
      <w:rPr>
        <w:rFonts w:ascii="Wingdings" w:hAnsi="Wingdings" w:hint="default"/>
      </w:rPr>
    </w:lvl>
    <w:lvl w:ilvl="1" w:tplc="EAF67A84">
      <w:start w:val="1"/>
      <w:numFmt w:val="bullet"/>
      <w:lvlText w:val=""/>
      <w:lvlJc w:val="left"/>
      <w:pPr>
        <w:tabs>
          <w:tab w:val="num" w:pos="1440"/>
        </w:tabs>
        <w:ind w:left="1440" w:hanging="360"/>
      </w:pPr>
      <w:rPr>
        <w:rFonts w:ascii="Wingdings" w:hAnsi="Wingdings" w:hint="default"/>
      </w:rPr>
    </w:lvl>
    <w:lvl w:ilvl="2" w:tplc="BC6AE358">
      <w:start w:val="1"/>
      <w:numFmt w:val="bullet"/>
      <w:lvlText w:val=""/>
      <w:lvlJc w:val="left"/>
      <w:pPr>
        <w:tabs>
          <w:tab w:val="num" w:pos="2160"/>
        </w:tabs>
        <w:ind w:left="2160" w:hanging="360"/>
      </w:pPr>
      <w:rPr>
        <w:rFonts w:ascii="Wingdings" w:hAnsi="Wingdings" w:hint="default"/>
      </w:rPr>
    </w:lvl>
    <w:lvl w:ilvl="3" w:tplc="39A61CAA" w:tentative="1">
      <w:start w:val="1"/>
      <w:numFmt w:val="bullet"/>
      <w:lvlText w:val=""/>
      <w:lvlJc w:val="left"/>
      <w:pPr>
        <w:tabs>
          <w:tab w:val="num" w:pos="2880"/>
        </w:tabs>
        <w:ind w:left="2880" w:hanging="360"/>
      </w:pPr>
      <w:rPr>
        <w:rFonts w:ascii="Wingdings" w:hAnsi="Wingdings" w:hint="default"/>
      </w:rPr>
    </w:lvl>
    <w:lvl w:ilvl="4" w:tplc="0180099E" w:tentative="1">
      <w:start w:val="1"/>
      <w:numFmt w:val="bullet"/>
      <w:lvlText w:val=""/>
      <w:lvlJc w:val="left"/>
      <w:pPr>
        <w:tabs>
          <w:tab w:val="num" w:pos="3600"/>
        </w:tabs>
        <w:ind w:left="3600" w:hanging="360"/>
      </w:pPr>
      <w:rPr>
        <w:rFonts w:ascii="Wingdings" w:hAnsi="Wingdings" w:hint="default"/>
      </w:rPr>
    </w:lvl>
    <w:lvl w:ilvl="5" w:tplc="76EEEE68" w:tentative="1">
      <w:start w:val="1"/>
      <w:numFmt w:val="bullet"/>
      <w:lvlText w:val=""/>
      <w:lvlJc w:val="left"/>
      <w:pPr>
        <w:tabs>
          <w:tab w:val="num" w:pos="4320"/>
        </w:tabs>
        <w:ind w:left="4320" w:hanging="360"/>
      </w:pPr>
      <w:rPr>
        <w:rFonts w:ascii="Wingdings" w:hAnsi="Wingdings" w:hint="default"/>
      </w:rPr>
    </w:lvl>
    <w:lvl w:ilvl="6" w:tplc="89F4CF2E" w:tentative="1">
      <w:start w:val="1"/>
      <w:numFmt w:val="bullet"/>
      <w:lvlText w:val=""/>
      <w:lvlJc w:val="left"/>
      <w:pPr>
        <w:tabs>
          <w:tab w:val="num" w:pos="5040"/>
        </w:tabs>
        <w:ind w:left="5040" w:hanging="360"/>
      </w:pPr>
      <w:rPr>
        <w:rFonts w:ascii="Wingdings" w:hAnsi="Wingdings" w:hint="default"/>
      </w:rPr>
    </w:lvl>
    <w:lvl w:ilvl="7" w:tplc="BA54A222" w:tentative="1">
      <w:start w:val="1"/>
      <w:numFmt w:val="bullet"/>
      <w:lvlText w:val=""/>
      <w:lvlJc w:val="left"/>
      <w:pPr>
        <w:tabs>
          <w:tab w:val="num" w:pos="5760"/>
        </w:tabs>
        <w:ind w:left="5760" w:hanging="360"/>
      </w:pPr>
      <w:rPr>
        <w:rFonts w:ascii="Wingdings" w:hAnsi="Wingdings" w:hint="default"/>
      </w:rPr>
    </w:lvl>
    <w:lvl w:ilvl="8" w:tplc="80385AA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3791648">
    <w:abstractNumId w:val="23"/>
  </w:num>
  <w:num w:numId="2" w16cid:durableId="1737824626">
    <w:abstractNumId w:val="17"/>
    <w:lvlOverride w:ilvl="0">
      <w:startOverride w:val="1"/>
    </w:lvlOverride>
  </w:num>
  <w:num w:numId="3" w16cid:durableId="74212394">
    <w:abstractNumId w:val="16"/>
  </w:num>
  <w:num w:numId="4" w16cid:durableId="1864123871">
    <w:abstractNumId w:val="9"/>
  </w:num>
  <w:num w:numId="5" w16cid:durableId="98138728">
    <w:abstractNumId w:val="0"/>
  </w:num>
  <w:num w:numId="6" w16cid:durableId="1800948460">
    <w:abstractNumId w:val="22"/>
  </w:num>
  <w:num w:numId="7" w16cid:durableId="1476489209">
    <w:abstractNumId w:val="35"/>
  </w:num>
  <w:num w:numId="8" w16cid:durableId="1817799451">
    <w:abstractNumId w:val="10"/>
    <w:lvlOverride w:ilvl="0">
      <w:startOverride w:val="1"/>
    </w:lvlOverride>
    <w:lvlOverride w:ilvl="1"/>
    <w:lvlOverride w:ilvl="2"/>
    <w:lvlOverride w:ilvl="3"/>
    <w:lvlOverride w:ilvl="4"/>
    <w:lvlOverride w:ilvl="5"/>
    <w:lvlOverride w:ilvl="6"/>
    <w:lvlOverride w:ilvl="7"/>
    <w:lvlOverride w:ilvl="8"/>
  </w:num>
  <w:num w:numId="9" w16cid:durableId="1598371182">
    <w:abstractNumId w:val="28"/>
  </w:num>
  <w:num w:numId="10" w16cid:durableId="1738816075">
    <w:abstractNumId w:val="27"/>
  </w:num>
  <w:num w:numId="11" w16cid:durableId="1186871857">
    <w:abstractNumId w:val="5"/>
  </w:num>
  <w:num w:numId="12" w16cid:durableId="1973552680">
    <w:abstractNumId w:val="21"/>
  </w:num>
  <w:num w:numId="13" w16cid:durableId="333844085">
    <w:abstractNumId w:val="36"/>
  </w:num>
  <w:num w:numId="14" w16cid:durableId="462236487">
    <w:abstractNumId w:val="15"/>
  </w:num>
  <w:num w:numId="15" w16cid:durableId="67115529">
    <w:abstractNumId w:val="24"/>
  </w:num>
  <w:num w:numId="16" w16cid:durableId="6293861">
    <w:abstractNumId w:val="26"/>
  </w:num>
  <w:num w:numId="17" w16cid:durableId="781341368">
    <w:abstractNumId w:val="29"/>
  </w:num>
  <w:num w:numId="18" w16cid:durableId="1046875333">
    <w:abstractNumId w:val="6"/>
  </w:num>
  <w:num w:numId="19" w16cid:durableId="872158126">
    <w:abstractNumId w:val="8"/>
  </w:num>
  <w:num w:numId="20" w16cid:durableId="1355111306">
    <w:abstractNumId w:val="20"/>
  </w:num>
  <w:num w:numId="21" w16cid:durableId="1497646170">
    <w:abstractNumId w:val="11"/>
  </w:num>
  <w:num w:numId="22" w16cid:durableId="617957411">
    <w:abstractNumId w:val="7"/>
  </w:num>
  <w:num w:numId="23" w16cid:durableId="98764797">
    <w:abstractNumId w:val="30"/>
  </w:num>
  <w:num w:numId="24" w16cid:durableId="1341009052">
    <w:abstractNumId w:val="2"/>
  </w:num>
  <w:num w:numId="25" w16cid:durableId="1497303765">
    <w:abstractNumId w:val="32"/>
  </w:num>
  <w:num w:numId="26" w16cid:durableId="1542787443">
    <w:abstractNumId w:val="12"/>
  </w:num>
  <w:num w:numId="27" w16cid:durableId="1849059831">
    <w:abstractNumId w:val="3"/>
  </w:num>
  <w:num w:numId="28" w16cid:durableId="739863594">
    <w:abstractNumId w:val="19"/>
  </w:num>
  <w:num w:numId="29" w16cid:durableId="1828860679">
    <w:abstractNumId w:val="25"/>
  </w:num>
  <w:num w:numId="30" w16cid:durableId="1442533119">
    <w:abstractNumId w:val="13"/>
  </w:num>
  <w:num w:numId="31" w16cid:durableId="1292400189">
    <w:abstractNumId w:val="18"/>
  </w:num>
  <w:num w:numId="32" w16cid:durableId="1300499094">
    <w:abstractNumId w:val="34"/>
  </w:num>
  <w:num w:numId="33" w16cid:durableId="258611559">
    <w:abstractNumId w:val="33"/>
  </w:num>
  <w:num w:numId="34" w16cid:durableId="1982616261">
    <w:abstractNumId w:val="4"/>
  </w:num>
  <w:num w:numId="35" w16cid:durableId="1924872033">
    <w:abstractNumId w:val="31"/>
  </w:num>
  <w:num w:numId="36" w16cid:durableId="608200197">
    <w:abstractNumId w:val="1"/>
  </w:num>
  <w:num w:numId="37" w16cid:durableId="164083963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3FB"/>
    <w:rsid w:val="00026D67"/>
    <w:rsid w:val="00027283"/>
    <w:rsid w:val="0002739E"/>
    <w:rsid w:val="0002750F"/>
    <w:rsid w:val="000279D4"/>
    <w:rsid w:val="0003032A"/>
    <w:rsid w:val="00030DA6"/>
    <w:rsid w:val="00031206"/>
    <w:rsid w:val="00031482"/>
    <w:rsid w:val="000315B0"/>
    <w:rsid w:val="000315CD"/>
    <w:rsid w:val="00031FAB"/>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5352"/>
    <w:rsid w:val="00046087"/>
    <w:rsid w:val="000464E9"/>
    <w:rsid w:val="000474C8"/>
    <w:rsid w:val="00050BD2"/>
    <w:rsid w:val="00050C43"/>
    <w:rsid w:val="0005117F"/>
    <w:rsid w:val="0005168E"/>
    <w:rsid w:val="00051A6E"/>
    <w:rsid w:val="00051A78"/>
    <w:rsid w:val="000526FF"/>
    <w:rsid w:val="00053377"/>
    <w:rsid w:val="000537CF"/>
    <w:rsid w:val="000544D7"/>
    <w:rsid w:val="00055587"/>
    <w:rsid w:val="0005630E"/>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EB5"/>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0D46"/>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B8A"/>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D8"/>
    <w:rsid w:val="001800FF"/>
    <w:rsid w:val="0018019E"/>
    <w:rsid w:val="00180486"/>
    <w:rsid w:val="00180610"/>
    <w:rsid w:val="00181102"/>
    <w:rsid w:val="00181309"/>
    <w:rsid w:val="0018136F"/>
    <w:rsid w:val="001813C4"/>
    <w:rsid w:val="001819AA"/>
    <w:rsid w:val="00182E10"/>
    <w:rsid w:val="00182F36"/>
    <w:rsid w:val="00183C12"/>
    <w:rsid w:val="00184661"/>
    <w:rsid w:val="00184786"/>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2F8"/>
    <w:rsid w:val="001E0CD1"/>
    <w:rsid w:val="001E0CF6"/>
    <w:rsid w:val="001E10AF"/>
    <w:rsid w:val="001E17F8"/>
    <w:rsid w:val="001E1C28"/>
    <w:rsid w:val="001E1D2C"/>
    <w:rsid w:val="001E2A6C"/>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17775"/>
    <w:rsid w:val="002200BF"/>
    <w:rsid w:val="00220807"/>
    <w:rsid w:val="0022101E"/>
    <w:rsid w:val="002213AF"/>
    <w:rsid w:val="00221556"/>
    <w:rsid w:val="00222051"/>
    <w:rsid w:val="00222456"/>
    <w:rsid w:val="002227E5"/>
    <w:rsid w:val="002227F6"/>
    <w:rsid w:val="00222846"/>
    <w:rsid w:val="00223051"/>
    <w:rsid w:val="0022372D"/>
    <w:rsid w:val="002254E4"/>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7C"/>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A05"/>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E9C"/>
    <w:rsid w:val="002C61B3"/>
    <w:rsid w:val="002C62EF"/>
    <w:rsid w:val="002C65A8"/>
    <w:rsid w:val="002C6A45"/>
    <w:rsid w:val="002C71F0"/>
    <w:rsid w:val="002C7251"/>
    <w:rsid w:val="002C725E"/>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7A4"/>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36B"/>
    <w:rsid w:val="003648A2"/>
    <w:rsid w:val="00364B41"/>
    <w:rsid w:val="00364C69"/>
    <w:rsid w:val="00364D43"/>
    <w:rsid w:val="00364ED8"/>
    <w:rsid w:val="00364EFE"/>
    <w:rsid w:val="00365164"/>
    <w:rsid w:val="00365516"/>
    <w:rsid w:val="003663D5"/>
    <w:rsid w:val="00366C10"/>
    <w:rsid w:val="00366C77"/>
    <w:rsid w:val="00367899"/>
    <w:rsid w:val="0037041D"/>
    <w:rsid w:val="00370E87"/>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76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C3D"/>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9A6"/>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907"/>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0ED7"/>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D0E"/>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BDB"/>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380"/>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4C0"/>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61D"/>
    <w:rsid w:val="005C7CD4"/>
    <w:rsid w:val="005C7F34"/>
    <w:rsid w:val="005C7FFC"/>
    <w:rsid w:val="005D03BB"/>
    <w:rsid w:val="005D0612"/>
    <w:rsid w:val="005D0773"/>
    <w:rsid w:val="005D0811"/>
    <w:rsid w:val="005D08AC"/>
    <w:rsid w:val="005D0C1A"/>
    <w:rsid w:val="005D0D56"/>
    <w:rsid w:val="005D124F"/>
    <w:rsid w:val="005D213B"/>
    <w:rsid w:val="005D3221"/>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0F13"/>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AEC"/>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614B"/>
    <w:rsid w:val="0063750B"/>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2D19"/>
    <w:rsid w:val="006631DB"/>
    <w:rsid w:val="006631DF"/>
    <w:rsid w:val="006634A5"/>
    <w:rsid w:val="00663FE5"/>
    <w:rsid w:val="006644A0"/>
    <w:rsid w:val="006644B2"/>
    <w:rsid w:val="0066458F"/>
    <w:rsid w:val="00664D0F"/>
    <w:rsid w:val="00664F98"/>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8A2"/>
    <w:rsid w:val="006B6FB3"/>
    <w:rsid w:val="006B706C"/>
    <w:rsid w:val="006B7091"/>
    <w:rsid w:val="006B78A3"/>
    <w:rsid w:val="006B7DB2"/>
    <w:rsid w:val="006C07C1"/>
    <w:rsid w:val="006C150D"/>
    <w:rsid w:val="006C1584"/>
    <w:rsid w:val="006C1734"/>
    <w:rsid w:val="006C1B47"/>
    <w:rsid w:val="006C21E0"/>
    <w:rsid w:val="006C2FC6"/>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21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72A"/>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4E31"/>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2BF"/>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5BC"/>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4DA9"/>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1EE"/>
    <w:rsid w:val="007E06FF"/>
    <w:rsid w:val="007E0BBD"/>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11E"/>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26D"/>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BFB"/>
    <w:rsid w:val="009D2093"/>
    <w:rsid w:val="009D259F"/>
    <w:rsid w:val="009D2642"/>
    <w:rsid w:val="009D2793"/>
    <w:rsid w:val="009D2BCA"/>
    <w:rsid w:val="009D42E7"/>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A36"/>
    <w:rsid w:val="009E5DB5"/>
    <w:rsid w:val="009E5F1E"/>
    <w:rsid w:val="009E5FB8"/>
    <w:rsid w:val="009E634A"/>
    <w:rsid w:val="009E681D"/>
    <w:rsid w:val="009E74C0"/>
    <w:rsid w:val="009F025A"/>
    <w:rsid w:val="009F0901"/>
    <w:rsid w:val="009F0EF5"/>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791"/>
    <w:rsid w:val="00A01AC5"/>
    <w:rsid w:val="00A01B62"/>
    <w:rsid w:val="00A01C6D"/>
    <w:rsid w:val="00A022A2"/>
    <w:rsid w:val="00A02953"/>
    <w:rsid w:val="00A032D8"/>
    <w:rsid w:val="00A036A5"/>
    <w:rsid w:val="00A03B69"/>
    <w:rsid w:val="00A03BA6"/>
    <w:rsid w:val="00A03D35"/>
    <w:rsid w:val="00A0403D"/>
    <w:rsid w:val="00A0436C"/>
    <w:rsid w:val="00A044A1"/>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2911"/>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5D31"/>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E04"/>
    <w:rsid w:val="00AE4F3C"/>
    <w:rsid w:val="00AE52CD"/>
    <w:rsid w:val="00AE576D"/>
    <w:rsid w:val="00AE5C82"/>
    <w:rsid w:val="00AE5EB2"/>
    <w:rsid w:val="00AE61D6"/>
    <w:rsid w:val="00AE66BE"/>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2005B"/>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94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68"/>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BEC"/>
    <w:rsid w:val="00C85C33"/>
    <w:rsid w:val="00C8662F"/>
    <w:rsid w:val="00C86C74"/>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5FD1"/>
    <w:rsid w:val="00C9629D"/>
    <w:rsid w:val="00C96658"/>
    <w:rsid w:val="00C96EF6"/>
    <w:rsid w:val="00C97034"/>
    <w:rsid w:val="00C9757E"/>
    <w:rsid w:val="00C97688"/>
    <w:rsid w:val="00C977A3"/>
    <w:rsid w:val="00C97932"/>
    <w:rsid w:val="00CA055F"/>
    <w:rsid w:val="00CA0669"/>
    <w:rsid w:val="00CA0DA6"/>
    <w:rsid w:val="00CA0FBD"/>
    <w:rsid w:val="00CA2C11"/>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493"/>
    <w:rsid w:val="00CC3596"/>
    <w:rsid w:val="00CC3D95"/>
    <w:rsid w:val="00CC3F93"/>
    <w:rsid w:val="00CC54E5"/>
    <w:rsid w:val="00CC593B"/>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9F8"/>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BB0"/>
    <w:rsid w:val="00D62E19"/>
    <w:rsid w:val="00D63625"/>
    <w:rsid w:val="00D63BC8"/>
    <w:rsid w:val="00D63FE8"/>
    <w:rsid w:val="00D64923"/>
    <w:rsid w:val="00D64CD3"/>
    <w:rsid w:val="00D656DE"/>
    <w:rsid w:val="00D65DBC"/>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500"/>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6AA4"/>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069A"/>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1192"/>
    <w:rsid w:val="00FC1BA1"/>
    <w:rsid w:val="00FC1D9D"/>
    <w:rsid w:val="00FC222B"/>
    <w:rsid w:val="00FC271F"/>
    <w:rsid w:val="00FC2781"/>
    <w:rsid w:val="00FC27C4"/>
    <w:rsid w:val="00FC28BD"/>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4C0"/>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styleId="afd">
    <w:name w:val="Strong"/>
    <w:basedOn w:val="a2"/>
    <w:uiPriority w:val="22"/>
    <w:qFormat/>
    <w:rsid w:val="007845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24637431">
      <w:bodyDiv w:val="1"/>
      <w:marLeft w:val="0"/>
      <w:marRight w:val="0"/>
      <w:marTop w:val="0"/>
      <w:marBottom w:val="0"/>
      <w:divBdr>
        <w:top w:val="none" w:sz="0" w:space="0" w:color="auto"/>
        <w:left w:val="none" w:sz="0" w:space="0" w:color="auto"/>
        <w:bottom w:val="none" w:sz="0" w:space="0" w:color="auto"/>
        <w:right w:val="none" w:sz="0" w:space="0" w:color="auto"/>
      </w:divBdr>
      <w:divsChild>
        <w:div w:id="1878932345">
          <w:marLeft w:val="0"/>
          <w:marRight w:val="0"/>
          <w:marTop w:val="0"/>
          <w:marBottom w:val="0"/>
          <w:divBdr>
            <w:top w:val="none" w:sz="0" w:space="0" w:color="auto"/>
            <w:left w:val="none" w:sz="0" w:space="0" w:color="auto"/>
            <w:bottom w:val="none" w:sz="0" w:space="0" w:color="auto"/>
            <w:right w:val="none" w:sz="0" w:space="0" w:color="auto"/>
          </w:divBdr>
          <w:divsChild>
            <w:div w:id="293827615">
              <w:marLeft w:val="0"/>
              <w:marRight w:val="0"/>
              <w:marTop w:val="0"/>
              <w:marBottom w:val="0"/>
              <w:divBdr>
                <w:top w:val="none" w:sz="0" w:space="0" w:color="auto"/>
                <w:left w:val="none" w:sz="0" w:space="0" w:color="auto"/>
                <w:bottom w:val="none" w:sz="0" w:space="0" w:color="auto"/>
                <w:right w:val="none" w:sz="0" w:space="0" w:color="auto"/>
              </w:divBdr>
            </w:div>
            <w:div w:id="1910648252">
              <w:marLeft w:val="0"/>
              <w:marRight w:val="0"/>
              <w:marTop w:val="0"/>
              <w:marBottom w:val="0"/>
              <w:divBdr>
                <w:top w:val="none" w:sz="0" w:space="0" w:color="auto"/>
                <w:left w:val="none" w:sz="0" w:space="0" w:color="auto"/>
                <w:bottom w:val="none" w:sz="0" w:space="0" w:color="auto"/>
                <w:right w:val="none" w:sz="0" w:space="0" w:color="auto"/>
              </w:divBdr>
            </w:div>
            <w:div w:id="3654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41867296">
      <w:bodyDiv w:val="1"/>
      <w:marLeft w:val="0"/>
      <w:marRight w:val="0"/>
      <w:marTop w:val="0"/>
      <w:marBottom w:val="0"/>
      <w:divBdr>
        <w:top w:val="none" w:sz="0" w:space="0" w:color="auto"/>
        <w:left w:val="none" w:sz="0" w:space="0" w:color="auto"/>
        <w:bottom w:val="none" w:sz="0" w:space="0" w:color="auto"/>
        <w:right w:val="none" w:sz="0" w:space="0" w:color="auto"/>
      </w:divBdr>
      <w:divsChild>
        <w:div w:id="1430813011">
          <w:marLeft w:val="0"/>
          <w:marRight w:val="0"/>
          <w:marTop w:val="0"/>
          <w:marBottom w:val="0"/>
          <w:divBdr>
            <w:top w:val="none" w:sz="0" w:space="0" w:color="auto"/>
            <w:left w:val="none" w:sz="0" w:space="0" w:color="auto"/>
            <w:bottom w:val="none" w:sz="0" w:space="0" w:color="auto"/>
            <w:right w:val="none" w:sz="0" w:space="0" w:color="auto"/>
          </w:divBdr>
          <w:divsChild>
            <w:div w:id="52586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89417667">
      <w:bodyDiv w:val="1"/>
      <w:marLeft w:val="0"/>
      <w:marRight w:val="0"/>
      <w:marTop w:val="0"/>
      <w:marBottom w:val="0"/>
      <w:divBdr>
        <w:top w:val="none" w:sz="0" w:space="0" w:color="auto"/>
        <w:left w:val="none" w:sz="0" w:space="0" w:color="auto"/>
        <w:bottom w:val="none" w:sz="0" w:space="0" w:color="auto"/>
        <w:right w:val="none" w:sz="0" w:space="0" w:color="auto"/>
      </w:divBdr>
      <w:divsChild>
        <w:div w:id="1953437607">
          <w:marLeft w:val="0"/>
          <w:marRight w:val="0"/>
          <w:marTop w:val="0"/>
          <w:marBottom w:val="0"/>
          <w:divBdr>
            <w:top w:val="none" w:sz="0" w:space="0" w:color="auto"/>
            <w:left w:val="none" w:sz="0" w:space="0" w:color="auto"/>
            <w:bottom w:val="none" w:sz="0" w:space="0" w:color="auto"/>
            <w:right w:val="none" w:sz="0" w:space="0" w:color="auto"/>
          </w:divBdr>
          <w:divsChild>
            <w:div w:id="14535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0940722">
      <w:bodyDiv w:val="1"/>
      <w:marLeft w:val="0"/>
      <w:marRight w:val="0"/>
      <w:marTop w:val="0"/>
      <w:marBottom w:val="0"/>
      <w:divBdr>
        <w:top w:val="none" w:sz="0" w:space="0" w:color="auto"/>
        <w:left w:val="none" w:sz="0" w:space="0" w:color="auto"/>
        <w:bottom w:val="none" w:sz="0" w:space="0" w:color="auto"/>
        <w:right w:val="none" w:sz="0" w:space="0" w:color="auto"/>
      </w:divBdr>
      <w:divsChild>
        <w:div w:id="330376668">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5943C-819A-46BE-8915-DBE22D12239B}">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75</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HONOR - Yuchen Zhu</cp:lastModifiedBy>
  <cp:revision>36</cp:revision>
  <dcterms:created xsi:type="dcterms:W3CDTF">2024-08-09T04:10:00Z</dcterms:created>
  <dcterms:modified xsi:type="dcterms:W3CDTF">2025-02-06T12:27:00Z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